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1002864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noProof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14008"/>
          </w:tblGrid>
          <w:tr w:rsidR="00B01273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01273" w:rsidRDefault="00B01273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Carroll Engineering, Inc.</w:t>
                    </w:r>
                  </w:p>
                </w:tc>
              </w:sdtContent>
            </w:sdt>
          </w:tr>
          <w:tr w:rsidR="00B01273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01273" w:rsidRDefault="00B01273" w:rsidP="00A51E32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P</w:t>
                    </w:r>
                    <w:r w:rsidR="00A51E32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RS Repo</w:t>
                    </w: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rts </w:t>
                    </w:r>
                  </w:p>
                </w:sdtContent>
              </w:sdt>
            </w:tc>
          </w:tr>
          <w:tr w:rsidR="00B01273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01273" w:rsidRDefault="00B01273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Version 3 </w:t>
                    </w:r>
                  </w:p>
                </w:tc>
              </w:sdtContent>
            </w:sdt>
          </w:tr>
        </w:tbl>
        <w:p w:rsidR="00B01273" w:rsidRDefault="00B01273"/>
        <w:p w:rsidR="00B01273" w:rsidRDefault="00B01273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14008"/>
          </w:tblGrid>
          <w:tr w:rsidR="00B01273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hor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01273" w:rsidRDefault="00B01273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Jeff Carroll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1-09-0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B01273" w:rsidRDefault="00B01273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9/1/2011</w:t>
                    </w:r>
                  </w:p>
                </w:sdtContent>
              </w:sdt>
              <w:p w:rsidR="00B01273" w:rsidRDefault="00B01273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B01273" w:rsidRDefault="00B01273"/>
        <w:p w:rsidR="00B01273" w:rsidRDefault="00B01273">
          <w:pPr>
            <w:rPr>
              <w:noProof/>
              <w:sz w:val="28"/>
              <w:szCs w:val="28"/>
            </w:rPr>
          </w:pPr>
          <w:r>
            <w:rPr>
              <w:noProof/>
              <w:sz w:val="28"/>
              <w:szCs w:val="28"/>
            </w:rPr>
            <w:br w:type="page"/>
          </w:r>
        </w:p>
      </w:sdtContent>
    </w:sdt>
    <w:p w:rsidR="00E74244" w:rsidRDefault="00B55FC3" w:rsidP="00B55FC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028627"/>
        <w:docPartObj>
          <w:docPartGallery w:val="Table of Contents"/>
          <w:docPartUnique/>
        </w:docPartObj>
      </w:sdtPr>
      <w:sdtContent>
        <w:p w:rsidR="00E74244" w:rsidRDefault="00E74244">
          <w:pPr>
            <w:pStyle w:val="TOCHeading"/>
          </w:pPr>
          <w:r>
            <w:t>Contents</w:t>
          </w:r>
        </w:p>
        <w:p w:rsidR="00E74244" w:rsidRDefault="00E74244" w:rsidP="00E74244"/>
        <w:p w:rsidR="00E74244" w:rsidRPr="00E74244" w:rsidRDefault="00A51E32" w:rsidP="00E74244">
          <w:r>
            <w:t>PRS</w:t>
          </w:r>
          <w:r w:rsidR="00E74244">
            <w:t xml:space="preserve"> Reports</w:t>
          </w:r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r>
            <w:fldChar w:fldCharType="begin"/>
          </w:r>
          <w:r w:rsidR="00E74244">
            <w:instrText xml:space="preserve"> TOC \o "1-3" \h \z \u </w:instrText>
          </w:r>
          <w:r>
            <w:fldChar w:fldCharType="separate"/>
          </w:r>
          <w:hyperlink w:anchor="_Toc302719875" w:history="1">
            <w:r w:rsidR="00A51E32" w:rsidRPr="00675F70">
              <w:rPr>
                <w:rStyle w:val="Hyperlink"/>
                <w:noProof/>
              </w:rPr>
              <w:t>Multiple Prod Gross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76" w:history="1">
            <w:r w:rsidR="00A51E32" w:rsidRPr="00675F70">
              <w:rPr>
                <w:rStyle w:val="Hyperlink"/>
                <w:noProof/>
              </w:rPr>
              <w:t>Monthly Prod Variance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77" w:history="1">
            <w:r w:rsidR="00A51E32" w:rsidRPr="00675F70">
              <w:rPr>
                <w:rStyle w:val="Hyperlink"/>
                <w:noProof/>
              </w:rPr>
              <w:t>Daily Prod (Single Day)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78" w:history="1">
            <w:r w:rsidR="00A51E32" w:rsidRPr="00675F70">
              <w:rPr>
                <w:rStyle w:val="Hyperlink"/>
                <w:noProof/>
              </w:rPr>
              <w:t>Daily Prod (Multiple Days)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79" w:history="1">
            <w:r w:rsidR="00A51E32" w:rsidRPr="00675F70">
              <w:rPr>
                <w:rStyle w:val="Hyperlink"/>
                <w:noProof/>
              </w:rPr>
              <w:t>Daily Prod Variance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0" w:history="1">
            <w:r w:rsidR="00A51E32" w:rsidRPr="00675F70">
              <w:rPr>
                <w:rStyle w:val="Hyperlink"/>
                <w:noProof/>
              </w:rPr>
              <w:t>Daily Prod Variance (OGW)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1" w:history="1">
            <w:r w:rsidR="00A51E32" w:rsidRPr="00675F70">
              <w:rPr>
                <w:rStyle w:val="Hyperlink"/>
                <w:noProof/>
              </w:rPr>
              <w:t>Daily Prod (Total for Range of Days) – GROSS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2" w:history="1">
            <w:r w:rsidR="00A51E32" w:rsidRPr="00675F70">
              <w:rPr>
                <w:rStyle w:val="Hyperlink"/>
                <w:noProof/>
              </w:rPr>
              <w:t>Daily Prod (Total for Range of Days) – NET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3" w:history="1">
            <w:r w:rsidR="00A51E32" w:rsidRPr="00675F70">
              <w:rPr>
                <w:rStyle w:val="Hyperlink"/>
                <w:noProof/>
              </w:rPr>
              <w:t>Shut-in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4" w:history="1">
            <w:r w:rsidR="00A51E32" w:rsidRPr="00675F70">
              <w:rPr>
                <w:rStyle w:val="Hyperlink"/>
                <w:noProof/>
              </w:rPr>
              <w:t>Test (Detailed)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5" w:history="1">
            <w:r w:rsidR="00A51E32" w:rsidRPr="00675F70">
              <w:rPr>
                <w:rStyle w:val="Hyperlink"/>
                <w:noProof/>
              </w:rPr>
              <w:t>Run Ticket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6" w:history="1">
            <w:r w:rsidR="00A51E32" w:rsidRPr="00675F70">
              <w:rPr>
                <w:rStyle w:val="Hyperlink"/>
                <w:noProof/>
              </w:rPr>
              <w:t>Daily Oil Stock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7" w:history="1">
            <w:r w:rsidR="00A51E32" w:rsidRPr="00675F70">
              <w:rPr>
                <w:rStyle w:val="Hyperlink"/>
                <w:noProof/>
              </w:rPr>
              <w:t>Daily Monthly Variance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1E32" w:rsidRDefault="00E02833">
          <w:pPr>
            <w:pStyle w:val="TOC3"/>
            <w:tabs>
              <w:tab w:val="right" w:leader="dot" w:pos="17270"/>
            </w:tabs>
            <w:rPr>
              <w:rFonts w:eastAsiaTheme="minorEastAsia"/>
              <w:noProof/>
            </w:rPr>
          </w:pPr>
          <w:hyperlink w:anchor="_Toc302719888" w:history="1">
            <w:r w:rsidR="00A51E32" w:rsidRPr="00675F70">
              <w:rPr>
                <w:rStyle w:val="Hyperlink"/>
                <w:noProof/>
              </w:rPr>
              <w:t>Compressor report</w:t>
            </w:r>
            <w:r w:rsidR="00A51E3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1E32">
              <w:rPr>
                <w:noProof/>
                <w:webHidden/>
              </w:rPr>
              <w:instrText xml:space="preserve"> PAGEREF _Toc302719888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2BFF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4244" w:rsidRDefault="00E02833">
          <w:r>
            <w:fldChar w:fldCharType="end"/>
          </w:r>
        </w:p>
      </w:sdtContent>
    </w:sdt>
    <w:p w:rsidR="00B55FC3" w:rsidRDefault="00B55FC3" w:rsidP="00B55FC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D731C2" w:rsidRPr="00E74244" w:rsidRDefault="00A51E32" w:rsidP="00E74244">
      <w:pPr>
        <w:pStyle w:val="Heading3"/>
        <w:rPr>
          <w:szCs w:val="28"/>
        </w:rPr>
      </w:pPr>
      <w:bookmarkStart w:id="0" w:name="_Toc302719875"/>
      <w:r>
        <w:rPr>
          <w:szCs w:val="28"/>
        </w:rPr>
        <w:lastRenderedPageBreak/>
        <w:t>Multiple Prod Gross</w:t>
      </w:r>
      <w:r w:rsidR="00D731C2" w:rsidRPr="00E74244">
        <w:rPr>
          <w:szCs w:val="28"/>
        </w:rPr>
        <w:t xml:space="preserve"> report</w:t>
      </w:r>
      <w:bookmarkEnd w:id="0"/>
    </w:p>
    <w:p w:rsidR="00D731C2" w:rsidRPr="00BE499D" w:rsidRDefault="00C37AF5">
      <w:pPr>
        <w:rPr>
          <w:noProof/>
        </w:rPr>
      </w:pPr>
      <w:r w:rsidRPr="00BE499D">
        <w:rPr>
          <w:noProof/>
        </w:rPr>
        <w:t xml:space="preserve">This report shows the </w:t>
      </w:r>
      <w:r w:rsidR="00BE499D" w:rsidRPr="00BE499D">
        <w:rPr>
          <w:noProof/>
        </w:rPr>
        <w:t xml:space="preserve">Monthly </w:t>
      </w:r>
      <w:r w:rsidRPr="00BE499D">
        <w:rPr>
          <w:noProof/>
        </w:rPr>
        <w:t xml:space="preserve">Production </w:t>
      </w:r>
      <w:r w:rsidR="00BE499D" w:rsidRPr="00BE499D">
        <w:rPr>
          <w:noProof/>
        </w:rPr>
        <w:t xml:space="preserve">for </w:t>
      </w:r>
      <w:r w:rsidRPr="00BE499D">
        <w:rPr>
          <w:noProof/>
        </w:rPr>
        <w:t xml:space="preserve">a specific </w:t>
      </w:r>
      <w:r w:rsidR="00BE499D" w:rsidRPr="00BE499D">
        <w:rPr>
          <w:noProof/>
        </w:rPr>
        <w:t>month</w:t>
      </w:r>
      <w:r w:rsidRPr="00BE499D">
        <w:rPr>
          <w:noProof/>
        </w:rPr>
        <w:t xml:space="preserve"> for the leases selected. </w:t>
      </w:r>
    </w:p>
    <w:p w:rsidR="00740B36" w:rsidRPr="00241207" w:rsidRDefault="00D33219" w:rsidP="00D33219">
      <w:pPr>
        <w:ind w:left="1440" w:firstLine="720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7541895" cy="4484370"/>
            <wp:effectExtent l="19050" t="0" r="190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895" cy="448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C2" w:rsidRDefault="00453C1C" w:rsidP="00453C1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Extensive options for Lease </w:t>
      </w:r>
      <w:r w:rsidR="00AE12C1">
        <w:t>Select</w:t>
      </w:r>
      <w:r>
        <w:t>ion Criteria (Filtered Leases, Company, Saved Group, Pumper, Field, etc)</w:t>
      </w:r>
    </w:p>
    <w:p w:rsidR="00453C1C" w:rsidRDefault="00453C1C" w:rsidP="00453C1C">
      <w:pPr>
        <w:pStyle w:val="ListParagraph"/>
        <w:numPr>
          <w:ilvl w:val="0"/>
          <w:numId w:val="3"/>
        </w:numPr>
        <w:spacing w:after="0" w:line="240" w:lineRule="auto"/>
      </w:pPr>
      <w:r>
        <w:t>Print Summary or complete report</w:t>
      </w:r>
    </w:p>
    <w:p w:rsidR="00453C1C" w:rsidRDefault="00453C1C" w:rsidP="00453C1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Select Report </w:t>
      </w:r>
      <w:r w:rsidR="00D33219">
        <w:t>grouping and s</w:t>
      </w:r>
      <w:r>
        <w:t>orting options</w:t>
      </w:r>
    </w:p>
    <w:p w:rsidR="00E74244" w:rsidRDefault="00453C1C" w:rsidP="00CE25C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User can enter report title </w:t>
      </w:r>
      <w:r w:rsidR="00E74244">
        <w:br w:type="page"/>
      </w:r>
    </w:p>
    <w:p w:rsidR="00CD5EFE" w:rsidRPr="00D731C2" w:rsidRDefault="00A51E32" w:rsidP="00E74244">
      <w:pPr>
        <w:pStyle w:val="Heading3"/>
        <w:rPr>
          <w:noProof/>
        </w:rPr>
      </w:pPr>
      <w:bookmarkStart w:id="1" w:name="_Toc302719876"/>
      <w:r>
        <w:rPr>
          <w:noProof/>
        </w:rPr>
        <w:lastRenderedPageBreak/>
        <w:t>Monthly Prod Variance</w:t>
      </w:r>
      <w:r w:rsidR="00CD5EFE" w:rsidRPr="00D731C2">
        <w:rPr>
          <w:noProof/>
        </w:rPr>
        <w:t xml:space="preserve"> report</w:t>
      </w:r>
      <w:bookmarkEnd w:id="1"/>
    </w:p>
    <w:p w:rsidR="00CD5EFE" w:rsidRDefault="00CD5EFE" w:rsidP="005D51DE">
      <w:pPr>
        <w:spacing w:after="120" w:line="240" w:lineRule="auto"/>
        <w:rPr>
          <w:noProof/>
        </w:rPr>
      </w:pPr>
      <w:r>
        <w:rPr>
          <w:noProof/>
        </w:rPr>
        <w:t xml:space="preserve">This report shows the </w:t>
      </w:r>
      <w:r w:rsidR="00597689">
        <w:rPr>
          <w:noProof/>
        </w:rPr>
        <w:t>monthly p</w:t>
      </w:r>
      <w:r>
        <w:rPr>
          <w:noProof/>
        </w:rPr>
        <w:t xml:space="preserve">roduction </w:t>
      </w:r>
      <w:r w:rsidR="00597689">
        <w:rPr>
          <w:noProof/>
        </w:rPr>
        <w:t xml:space="preserve">variance for a </w:t>
      </w:r>
      <w:r>
        <w:rPr>
          <w:noProof/>
        </w:rPr>
        <w:t xml:space="preserve">specific </w:t>
      </w:r>
      <w:r w:rsidR="00597689">
        <w:rPr>
          <w:noProof/>
        </w:rPr>
        <w:t>month by comparing the production to the previous month (or to the previous quarter).</w:t>
      </w:r>
      <w:r>
        <w:rPr>
          <w:noProof/>
        </w:rPr>
        <w:t xml:space="preserve"> </w:t>
      </w:r>
    </w:p>
    <w:p w:rsidR="00CD5EFE" w:rsidRDefault="00CE25CC" w:rsidP="00D731C2">
      <w:r>
        <w:rPr>
          <w:noProof/>
        </w:rPr>
        <w:drawing>
          <wp:inline distT="0" distB="0" distL="0" distR="0">
            <wp:extent cx="10975696" cy="4328735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5696" cy="432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1DE" w:rsidRDefault="005D51DE" w:rsidP="005D51DE">
      <w:pPr>
        <w:spacing w:after="120" w:line="240" w:lineRule="auto"/>
      </w:pPr>
      <w:r>
        <w:t>Features</w:t>
      </w:r>
    </w:p>
    <w:p w:rsidR="00CE25CC" w:rsidRDefault="00D30140" w:rsidP="00850478">
      <w:pPr>
        <w:pStyle w:val="ListParagraph"/>
        <w:numPr>
          <w:ilvl w:val="0"/>
          <w:numId w:val="3"/>
        </w:numPr>
        <w:spacing w:after="0" w:line="240" w:lineRule="auto"/>
      </w:pPr>
      <w:r>
        <w:t>Variance calculation can be “Report Month versus Previous Month” or “Report Month versus Previous Quarter”.</w:t>
      </w:r>
    </w:p>
    <w:p w:rsidR="00CE25CC" w:rsidRDefault="00CE25CC" w:rsidP="00850478">
      <w:pPr>
        <w:pStyle w:val="ListParagraph"/>
        <w:numPr>
          <w:ilvl w:val="0"/>
          <w:numId w:val="3"/>
        </w:numPr>
        <w:spacing w:after="0" w:line="240" w:lineRule="auto"/>
      </w:pPr>
      <w:r>
        <w:t>Extensive options for Lease Selection Criteria (Filtered Leases, Company, Saved Group, Pumper, Field, etc)</w:t>
      </w:r>
      <w:r w:rsidR="00D30140">
        <w:t>.</w:t>
      </w:r>
    </w:p>
    <w:p w:rsidR="00CE25CC" w:rsidRDefault="00CE25CC" w:rsidP="00850478">
      <w:pPr>
        <w:pStyle w:val="ListParagraph"/>
        <w:numPr>
          <w:ilvl w:val="0"/>
          <w:numId w:val="3"/>
        </w:numPr>
        <w:spacing w:after="0" w:line="240" w:lineRule="auto"/>
      </w:pPr>
      <w:r>
        <w:t>Select Report Group</w:t>
      </w:r>
      <w:r w:rsidR="00642866">
        <w:t xml:space="preserve">ing and </w:t>
      </w:r>
      <w:r>
        <w:t>Sorting options</w:t>
      </w:r>
      <w:r w:rsidR="00D30140">
        <w:t>.</w:t>
      </w:r>
    </w:p>
    <w:p w:rsidR="00CE25CC" w:rsidRDefault="00CE25CC" w:rsidP="00850478">
      <w:pPr>
        <w:pStyle w:val="ListParagraph"/>
        <w:numPr>
          <w:ilvl w:val="0"/>
          <w:numId w:val="3"/>
        </w:numPr>
        <w:spacing w:after="0" w:line="240" w:lineRule="auto"/>
      </w:pPr>
      <w:r>
        <w:t>User can enter report title</w:t>
      </w:r>
      <w:r w:rsidR="00D30140">
        <w:t>.</w:t>
      </w:r>
    </w:p>
    <w:p w:rsidR="00A96C88" w:rsidRPr="00D731C2" w:rsidRDefault="00A51E32" w:rsidP="00E74244">
      <w:pPr>
        <w:pStyle w:val="Heading3"/>
        <w:rPr>
          <w:noProof/>
        </w:rPr>
      </w:pPr>
      <w:bookmarkStart w:id="2" w:name="_Toc302719877"/>
      <w:r>
        <w:rPr>
          <w:noProof/>
        </w:rPr>
        <w:lastRenderedPageBreak/>
        <w:t xml:space="preserve">Daily Prod (Single Day) </w:t>
      </w:r>
      <w:r w:rsidR="00A96C88" w:rsidRPr="00D731C2">
        <w:rPr>
          <w:noProof/>
        </w:rPr>
        <w:t>report</w:t>
      </w:r>
      <w:bookmarkEnd w:id="2"/>
    </w:p>
    <w:p w:rsidR="00A96C88" w:rsidRDefault="00A96C88" w:rsidP="00597689">
      <w:pPr>
        <w:spacing w:after="120"/>
        <w:rPr>
          <w:noProof/>
        </w:rPr>
      </w:pPr>
      <w:r>
        <w:rPr>
          <w:noProof/>
        </w:rPr>
        <w:t xml:space="preserve">This report shows the </w:t>
      </w:r>
      <w:r w:rsidR="003B3B90">
        <w:rPr>
          <w:noProof/>
        </w:rPr>
        <w:t>d</w:t>
      </w:r>
      <w:r>
        <w:rPr>
          <w:noProof/>
        </w:rPr>
        <w:t xml:space="preserve">aily </w:t>
      </w:r>
      <w:r w:rsidR="003B3B90">
        <w:rPr>
          <w:noProof/>
        </w:rPr>
        <w:t>p</w:t>
      </w:r>
      <w:r>
        <w:rPr>
          <w:noProof/>
        </w:rPr>
        <w:t xml:space="preserve">roduction on a specific date for the leases selected. Production is shown in mcfd and in bbls/day. </w:t>
      </w:r>
    </w:p>
    <w:p w:rsidR="005D51DE" w:rsidRDefault="005D51DE" w:rsidP="00597689">
      <w:pPr>
        <w:spacing w:after="120"/>
        <w:rPr>
          <w:noProof/>
        </w:rPr>
      </w:pPr>
    </w:p>
    <w:p w:rsidR="00A96C88" w:rsidRDefault="005D51DE" w:rsidP="005D51DE">
      <w:r>
        <w:rPr>
          <w:noProof/>
        </w:rPr>
        <w:drawing>
          <wp:inline distT="0" distB="0" distL="0" distR="0">
            <wp:extent cx="10972800" cy="274761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747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1DE" w:rsidRDefault="005D51DE" w:rsidP="005D51DE">
      <w:pPr>
        <w:spacing w:after="120" w:line="240" w:lineRule="auto"/>
      </w:pPr>
    </w:p>
    <w:p w:rsidR="005D51DE" w:rsidRDefault="005D51DE" w:rsidP="005D51DE">
      <w:pPr>
        <w:spacing w:after="120" w:line="240" w:lineRule="auto"/>
      </w:pPr>
    </w:p>
    <w:p w:rsidR="00F508F4" w:rsidRDefault="00F508F4" w:rsidP="005D51DE">
      <w:pPr>
        <w:spacing w:after="120" w:line="240" w:lineRule="auto"/>
      </w:pPr>
    </w:p>
    <w:p w:rsidR="00F508F4" w:rsidRDefault="00F508F4" w:rsidP="005D51DE">
      <w:pPr>
        <w:spacing w:after="120" w:line="240" w:lineRule="auto"/>
      </w:pPr>
    </w:p>
    <w:p w:rsidR="00F508F4" w:rsidRDefault="00F508F4" w:rsidP="005D51DE">
      <w:pPr>
        <w:spacing w:after="120" w:line="240" w:lineRule="auto"/>
      </w:pPr>
    </w:p>
    <w:p w:rsidR="005D51DE" w:rsidRDefault="005D51DE" w:rsidP="005D51DE">
      <w:pPr>
        <w:spacing w:after="120" w:line="240" w:lineRule="auto"/>
      </w:pPr>
      <w:r>
        <w:t>Features</w:t>
      </w:r>
    </w:p>
    <w:p w:rsidR="005D51DE" w:rsidRDefault="005D51DE" w:rsidP="005D51DE">
      <w:pPr>
        <w:pStyle w:val="ListParagraph"/>
        <w:numPr>
          <w:ilvl w:val="0"/>
          <w:numId w:val="3"/>
        </w:numPr>
      </w:pPr>
      <w:r>
        <w:t xml:space="preserve">Extensive options for </w:t>
      </w:r>
      <w:r w:rsidR="00F508F4">
        <w:t>l</w:t>
      </w:r>
      <w:r>
        <w:t xml:space="preserve">ease </w:t>
      </w:r>
      <w:r w:rsidR="00F508F4">
        <w:t>s</w:t>
      </w:r>
      <w:r>
        <w:t xml:space="preserve">election </w:t>
      </w:r>
      <w:r w:rsidR="00F508F4">
        <w:t>c</w:t>
      </w:r>
      <w:r>
        <w:t xml:space="preserve">riteria. </w:t>
      </w:r>
      <w:r w:rsidR="00850478">
        <w:t>(select a single lease, or all leases, or filtered leases, or by pumper, or by user defined groups, etc)</w:t>
      </w:r>
    </w:p>
    <w:p w:rsidR="00A96C88" w:rsidRDefault="0007680B" w:rsidP="00241207">
      <w:pPr>
        <w:pStyle w:val="ListParagraph"/>
        <w:numPr>
          <w:ilvl w:val="0"/>
          <w:numId w:val="3"/>
        </w:numPr>
        <w:spacing w:after="0" w:line="240" w:lineRule="auto"/>
      </w:pPr>
      <w:r>
        <w:t>S</w:t>
      </w:r>
      <w:r w:rsidR="00D33219">
        <w:t>elect “Report Type” which can be either “Detailed” report or “Summary” report.</w:t>
      </w:r>
    </w:p>
    <w:p w:rsidR="00F508F4" w:rsidRDefault="00F508F4" w:rsidP="00F508F4">
      <w:pPr>
        <w:pStyle w:val="ListParagraph"/>
        <w:numPr>
          <w:ilvl w:val="0"/>
          <w:numId w:val="3"/>
        </w:numPr>
      </w:pPr>
      <w:r>
        <w:t xml:space="preserve">User can view the report on screen, print the report to a printer, or export the report to a file (PDF, XML, CSV, etc.)  </w:t>
      </w:r>
    </w:p>
    <w:p w:rsidR="00F508F4" w:rsidRDefault="00F508F4" w:rsidP="00F508F4">
      <w:pPr>
        <w:pStyle w:val="ListParagraph"/>
        <w:numPr>
          <w:ilvl w:val="0"/>
          <w:numId w:val="3"/>
        </w:numPr>
        <w:spacing w:after="0" w:line="240" w:lineRule="auto"/>
      </w:pPr>
      <w:r>
        <w:t>Group the report data by operator, county, state, region, pumper, zone, etc (up to 26 options).</w:t>
      </w:r>
    </w:p>
    <w:p w:rsidR="005D51DE" w:rsidRDefault="005D51DE" w:rsidP="005D51DE">
      <w:pPr>
        <w:spacing w:after="0" w:line="240" w:lineRule="auto"/>
      </w:pPr>
    </w:p>
    <w:p w:rsidR="001B02FE" w:rsidRPr="00D731C2" w:rsidRDefault="00A51E32" w:rsidP="00E74244">
      <w:pPr>
        <w:pStyle w:val="Heading3"/>
        <w:rPr>
          <w:noProof/>
        </w:rPr>
      </w:pPr>
      <w:bookmarkStart w:id="3" w:name="_Toc302719878"/>
      <w:r>
        <w:rPr>
          <w:noProof/>
        </w:rPr>
        <w:t>Daily Prod (Multiple Days)</w:t>
      </w:r>
      <w:r w:rsidR="001B02FE" w:rsidRPr="00D731C2">
        <w:rPr>
          <w:noProof/>
        </w:rPr>
        <w:t xml:space="preserve"> report</w:t>
      </w:r>
      <w:bookmarkEnd w:id="3"/>
    </w:p>
    <w:p w:rsidR="004F4CFE" w:rsidRDefault="004F4CFE" w:rsidP="004F4CFE">
      <w:pPr>
        <w:spacing w:after="120"/>
        <w:rPr>
          <w:noProof/>
        </w:rPr>
      </w:pPr>
      <w:r>
        <w:rPr>
          <w:noProof/>
        </w:rPr>
        <w:t xml:space="preserve">This report shows the daily production </w:t>
      </w:r>
      <w:r w:rsidR="00EB2BFD">
        <w:rPr>
          <w:noProof/>
        </w:rPr>
        <w:t xml:space="preserve">for a </w:t>
      </w:r>
      <w:r>
        <w:rPr>
          <w:noProof/>
        </w:rPr>
        <w:t xml:space="preserve">specific date </w:t>
      </w:r>
      <w:r w:rsidR="00EB2BFD">
        <w:rPr>
          <w:noProof/>
        </w:rPr>
        <w:t xml:space="preserve">range </w:t>
      </w:r>
      <w:r>
        <w:rPr>
          <w:noProof/>
        </w:rPr>
        <w:t xml:space="preserve">for the leases selected. Production is shown in mcfd and in bbls/day. </w:t>
      </w:r>
    </w:p>
    <w:p w:rsidR="001B02FE" w:rsidRDefault="009A0E79" w:rsidP="001B02FE">
      <w:r>
        <w:rPr>
          <w:noProof/>
        </w:rPr>
        <w:drawing>
          <wp:inline distT="0" distB="0" distL="0" distR="0">
            <wp:extent cx="10972800" cy="357625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3576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E79" w:rsidRDefault="009A0E79" w:rsidP="001B02FE"/>
    <w:p w:rsidR="009A0E79" w:rsidRDefault="009A0E79" w:rsidP="009A0E79">
      <w:pPr>
        <w:spacing w:after="120" w:line="240" w:lineRule="auto"/>
      </w:pPr>
      <w:bookmarkStart w:id="4" w:name="_Toc302719879"/>
      <w:r>
        <w:t>Features</w:t>
      </w:r>
    </w:p>
    <w:p w:rsidR="009A0E79" w:rsidRDefault="009A0E79" w:rsidP="009A0E79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</w:t>
      </w:r>
      <w:r w:rsidR="00850478">
        <w:t xml:space="preserve">or </w:t>
      </w:r>
      <w:r>
        <w:t xml:space="preserve">filtered leases, </w:t>
      </w:r>
      <w:r w:rsidR="00850478">
        <w:t xml:space="preserve">or </w:t>
      </w:r>
      <w:r>
        <w:t>by pumper, o</w:t>
      </w:r>
      <w:r w:rsidR="00850478">
        <w:t>r</w:t>
      </w:r>
      <w:r>
        <w:t xml:space="preserve"> by user defined </w:t>
      </w:r>
      <w:r w:rsidR="00850478">
        <w:t>g</w:t>
      </w:r>
      <w:r>
        <w:t xml:space="preserve">roups, etc) </w:t>
      </w:r>
    </w:p>
    <w:p w:rsidR="009A0E79" w:rsidRDefault="009A0E79" w:rsidP="009A0E79">
      <w:pPr>
        <w:pStyle w:val="ListParagraph"/>
        <w:numPr>
          <w:ilvl w:val="0"/>
          <w:numId w:val="3"/>
        </w:numPr>
        <w:spacing w:after="0" w:line="240" w:lineRule="auto"/>
      </w:pPr>
      <w:r>
        <w:t>User can edit the title on this report.</w:t>
      </w:r>
    </w:p>
    <w:p w:rsidR="009A0E79" w:rsidRDefault="009A0E79" w:rsidP="009A0E79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 </w:t>
      </w:r>
    </w:p>
    <w:p w:rsidR="009A0E79" w:rsidRDefault="009A0E79" w:rsidP="009A0E79">
      <w:pPr>
        <w:pStyle w:val="ListParagraph"/>
        <w:spacing w:after="0" w:line="240" w:lineRule="auto"/>
        <w:ind w:left="1440"/>
      </w:pPr>
    </w:p>
    <w:p w:rsidR="001B02FE" w:rsidRDefault="00A51E32" w:rsidP="00195EFF">
      <w:pPr>
        <w:pStyle w:val="Heading3"/>
        <w:spacing w:after="120" w:line="240" w:lineRule="auto"/>
        <w:rPr>
          <w:noProof/>
        </w:rPr>
      </w:pPr>
      <w:r>
        <w:rPr>
          <w:noProof/>
        </w:rPr>
        <w:lastRenderedPageBreak/>
        <w:t>Daily Prod Variance r</w:t>
      </w:r>
      <w:r w:rsidR="001B02FE" w:rsidRPr="00D731C2">
        <w:rPr>
          <w:noProof/>
        </w:rPr>
        <w:t>eport</w:t>
      </w:r>
      <w:bookmarkEnd w:id="4"/>
    </w:p>
    <w:p w:rsidR="00FB3A18" w:rsidRDefault="00FB3A18" w:rsidP="00195EFF">
      <w:pPr>
        <w:spacing w:after="120"/>
        <w:rPr>
          <w:noProof/>
        </w:rPr>
      </w:pPr>
      <w:r>
        <w:rPr>
          <w:noProof/>
        </w:rPr>
        <w:t xml:space="preserve">This report shows the daily production variance for a specific day by comparing the production to </w:t>
      </w:r>
      <w:r w:rsidR="00683B9E">
        <w:rPr>
          <w:noProof/>
        </w:rPr>
        <w:t xml:space="preserve">a </w:t>
      </w:r>
      <w:r>
        <w:rPr>
          <w:noProof/>
        </w:rPr>
        <w:t xml:space="preserve">previous </w:t>
      </w:r>
      <w:r w:rsidR="00683B9E">
        <w:rPr>
          <w:noProof/>
        </w:rPr>
        <w:t xml:space="preserve">period </w:t>
      </w:r>
      <w:r>
        <w:rPr>
          <w:noProof/>
        </w:rPr>
        <w:t>(</w:t>
      </w:r>
      <w:r w:rsidR="00683B9E">
        <w:rPr>
          <w:noProof/>
        </w:rPr>
        <w:t>previous day, previous week, previous month, etc</w:t>
      </w:r>
      <w:r>
        <w:rPr>
          <w:noProof/>
        </w:rPr>
        <w:t xml:space="preserve">). </w:t>
      </w:r>
    </w:p>
    <w:p w:rsidR="009A0E79" w:rsidRDefault="009A0E79" w:rsidP="00195EFF">
      <w:pPr>
        <w:spacing w:after="120"/>
      </w:pPr>
    </w:p>
    <w:p w:rsidR="00FB3A18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0972800" cy="283543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8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Default="009A0E79" w:rsidP="00FB3A1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0E79" w:rsidRPr="009A0E79" w:rsidRDefault="009A0E79" w:rsidP="009A0E79">
      <w:pPr>
        <w:autoSpaceDE w:val="0"/>
        <w:autoSpaceDN w:val="0"/>
        <w:adjustRightInd w:val="0"/>
        <w:spacing w:after="120" w:line="240" w:lineRule="auto"/>
      </w:pPr>
      <w:r w:rsidRPr="009A0E79">
        <w:t>Features</w:t>
      </w:r>
    </w:p>
    <w:p w:rsidR="00FB3A18" w:rsidRDefault="009A0E79" w:rsidP="00FB3A18">
      <w:pPr>
        <w:pStyle w:val="ListParagraph"/>
        <w:numPr>
          <w:ilvl w:val="0"/>
          <w:numId w:val="3"/>
        </w:numPr>
        <w:spacing w:after="0" w:line="240" w:lineRule="auto"/>
      </w:pPr>
      <w:r>
        <w:t>Select from 6 different v</w:t>
      </w:r>
      <w:r w:rsidR="00FB3A18">
        <w:t>ariance calculation</w:t>
      </w:r>
      <w:r>
        <w:t>s (report day versus previous day, previous week, previous month, etc).</w:t>
      </w:r>
    </w:p>
    <w:p w:rsidR="00FB3A18" w:rsidRDefault="00FB3A18" w:rsidP="00FB3A18">
      <w:pPr>
        <w:pStyle w:val="ListParagraph"/>
        <w:numPr>
          <w:ilvl w:val="0"/>
          <w:numId w:val="3"/>
        </w:numPr>
        <w:spacing w:after="0" w:line="240" w:lineRule="auto"/>
      </w:pPr>
      <w:r>
        <w:t>Extensive options for Lease Selection Criteria (Filtered Leases, Company, Saved Group, Pumper, Field, etc).</w:t>
      </w:r>
    </w:p>
    <w:p w:rsidR="00FB3A18" w:rsidRDefault="00FB3A18" w:rsidP="00FB3A18">
      <w:pPr>
        <w:pStyle w:val="ListParagraph"/>
        <w:numPr>
          <w:ilvl w:val="0"/>
          <w:numId w:val="3"/>
        </w:numPr>
        <w:spacing w:after="0" w:line="240" w:lineRule="auto"/>
      </w:pPr>
      <w:r>
        <w:t>Select Report Grouping and Sorting options.</w:t>
      </w:r>
    </w:p>
    <w:p w:rsidR="00FB3A18" w:rsidRDefault="00FB3A18" w:rsidP="00FB3A18">
      <w:pPr>
        <w:pStyle w:val="ListParagraph"/>
        <w:numPr>
          <w:ilvl w:val="0"/>
          <w:numId w:val="3"/>
        </w:numPr>
        <w:spacing w:after="0" w:line="240" w:lineRule="auto"/>
      </w:pPr>
      <w:r>
        <w:t>User can enter report title.</w:t>
      </w:r>
    </w:p>
    <w:p w:rsidR="001B02FE" w:rsidRPr="00FB3A18" w:rsidRDefault="001B02FE" w:rsidP="00FB3A18"/>
    <w:p w:rsidR="001B02FE" w:rsidRPr="00D731C2" w:rsidRDefault="00A51E32" w:rsidP="00E74244">
      <w:pPr>
        <w:pStyle w:val="Heading3"/>
        <w:rPr>
          <w:noProof/>
        </w:rPr>
      </w:pPr>
      <w:bookmarkStart w:id="5" w:name="_Toc302719880"/>
      <w:r>
        <w:rPr>
          <w:noProof/>
        </w:rPr>
        <w:t>Daily Prod Variance (OGW)</w:t>
      </w:r>
      <w:r w:rsidR="001B02FE" w:rsidRPr="00D731C2">
        <w:rPr>
          <w:noProof/>
        </w:rPr>
        <w:t xml:space="preserve"> report</w:t>
      </w:r>
      <w:bookmarkEnd w:id="5"/>
    </w:p>
    <w:p w:rsidR="00683B9E" w:rsidRDefault="00683B9E" w:rsidP="00683B9E">
      <w:pPr>
        <w:spacing w:after="120"/>
        <w:rPr>
          <w:noProof/>
        </w:rPr>
      </w:pPr>
      <w:r>
        <w:rPr>
          <w:noProof/>
        </w:rPr>
        <w:t xml:space="preserve">This report shows the daily production variance </w:t>
      </w:r>
      <w:r w:rsidR="009E22B8">
        <w:rPr>
          <w:noProof/>
        </w:rPr>
        <w:t xml:space="preserve">(Oil, Gas, and Water) </w:t>
      </w:r>
      <w:r>
        <w:rPr>
          <w:noProof/>
        </w:rPr>
        <w:t xml:space="preserve">for a specific day by comparing the production to a previous period (previous day, previous week, previous month, etc). </w:t>
      </w:r>
    </w:p>
    <w:p w:rsidR="00850478" w:rsidRDefault="00850478" w:rsidP="00683B9E">
      <w:pPr>
        <w:spacing w:after="120"/>
      </w:pPr>
    </w:p>
    <w:p w:rsidR="00024259" w:rsidRDefault="00850478" w:rsidP="001B02FE">
      <w:r>
        <w:rPr>
          <w:noProof/>
        </w:rPr>
        <w:drawing>
          <wp:inline distT="0" distB="0" distL="0" distR="0">
            <wp:extent cx="10972800" cy="239322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393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478" w:rsidRDefault="00850478" w:rsidP="001B02FE"/>
    <w:p w:rsidR="00850478" w:rsidRDefault="00850478" w:rsidP="001B02FE"/>
    <w:p w:rsidR="00850478" w:rsidRDefault="00850478" w:rsidP="001B02FE"/>
    <w:p w:rsidR="00850478" w:rsidRDefault="00850478" w:rsidP="00850478">
      <w:pPr>
        <w:spacing w:after="0" w:line="240" w:lineRule="auto"/>
      </w:pPr>
    </w:p>
    <w:p w:rsidR="009A0E79" w:rsidRPr="009A0E79" w:rsidRDefault="009A0E79" w:rsidP="009A0E79">
      <w:pPr>
        <w:autoSpaceDE w:val="0"/>
        <w:autoSpaceDN w:val="0"/>
        <w:adjustRightInd w:val="0"/>
        <w:spacing w:after="120" w:line="240" w:lineRule="auto"/>
      </w:pPr>
      <w:r w:rsidRPr="009A0E79">
        <w:t>Features</w:t>
      </w:r>
    </w:p>
    <w:p w:rsidR="009A0E79" w:rsidRDefault="009A0E79" w:rsidP="009A0E79">
      <w:pPr>
        <w:pStyle w:val="ListParagraph"/>
        <w:numPr>
          <w:ilvl w:val="0"/>
          <w:numId w:val="3"/>
        </w:numPr>
        <w:spacing w:after="0" w:line="240" w:lineRule="auto"/>
      </w:pPr>
      <w:r>
        <w:t>Select from 6 different variance calculations (report day versus previous day, previous week, previous month, etc).</w:t>
      </w:r>
    </w:p>
    <w:p w:rsidR="009A0E79" w:rsidRDefault="009A0E79" w:rsidP="009A0E79">
      <w:pPr>
        <w:pStyle w:val="ListParagraph"/>
        <w:numPr>
          <w:ilvl w:val="0"/>
          <w:numId w:val="3"/>
        </w:numPr>
        <w:spacing w:after="0" w:line="240" w:lineRule="auto"/>
      </w:pPr>
      <w:r>
        <w:t>Extensive options for Lease Selection Criteria (Filtered Leases, Company, Saved Group, Pumper, Field, etc).</w:t>
      </w:r>
    </w:p>
    <w:p w:rsidR="009A0E79" w:rsidRDefault="009A0E79" w:rsidP="009A0E79">
      <w:pPr>
        <w:pStyle w:val="ListParagraph"/>
        <w:numPr>
          <w:ilvl w:val="0"/>
          <w:numId w:val="3"/>
        </w:numPr>
        <w:spacing w:after="0" w:line="240" w:lineRule="auto"/>
      </w:pPr>
      <w:r>
        <w:t>Select Report Grouping and Sorting options.</w:t>
      </w:r>
    </w:p>
    <w:p w:rsidR="009A0E79" w:rsidRDefault="009A0E79" w:rsidP="009A0E79">
      <w:pPr>
        <w:pStyle w:val="ListParagraph"/>
        <w:numPr>
          <w:ilvl w:val="0"/>
          <w:numId w:val="3"/>
        </w:numPr>
        <w:spacing w:after="0" w:line="240" w:lineRule="auto"/>
      </w:pPr>
      <w:r>
        <w:t>User can enter report title.</w:t>
      </w:r>
    </w:p>
    <w:p w:rsidR="00024259" w:rsidRDefault="00024259" w:rsidP="001B02FE"/>
    <w:p w:rsidR="001B02FE" w:rsidRPr="00D731C2" w:rsidRDefault="00A51E32" w:rsidP="00E74244">
      <w:pPr>
        <w:pStyle w:val="Heading3"/>
        <w:rPr>
          <w:noProof/>
        </w:rPr>
      </w:pPr>
      <w:bookmarkStart w:id="6" w:name="_Toc302719881"/>
      <w:r>
        <w:rPr>
          <w:noProof/>
        </w:rPr>
        <w:t>Daily Prod (Total for Range of Days)</w:t>
      </w:r>
      <w:r w:rsidR="00024259">
        <w:rPr>
          <w:noProof/>
        </w:rPr>
        <w:t xml:space="preserve"> </w:t>
      </w:r>
      <w:r>
        <w:rPr>
          <w:noProof/>
        </w:rPr>
        <w:t xml:space="preserve">– GROSS </w:t>
      </w:r>
      <w:r w:rsidR="001B02FE" w:rsidRPr="00D731C2">
        <w:rPr>
          <w:noProof/>
        </w:rPr>
        <w:t>report</w:t>
      </w:r>
      <w:bookmarkEnd w:id="6"/>
    </w:p>
    <w:p w:rsidR="001B02FE" w:rsidRDefault="001B02FE" w:rsidP="001B02FE">
      <w:pPr>
        <w:rPr>
          <w:noProof/>
        </w:rPr>
      </w:pPr>
      <w:r>
        <w:rPr>
          <w:noProof/>
        </w:rPr>
        <w:t xml:space="preserve">This report shows the </w:t>
      </w:r>
      <w:r w:rsidR="00A42127">
        <w:rPr>
          <w:noProof/>
        </w:rPr>
        <w:t xml:space="preserve">gross </w:t>
      </w:r>
      <w:r w:rsidR="009E22B8">
        <w:rPr>
          <w:noProof/>
        </w:rPr>
        <w:t>daily production over a specific range of days</w:t>
      </w:r>
      <w:r>
        <w:rPr>
          <w:noProof/>
        </w:rPr>
        <w:t>.</w:t>
      </w:r>
      <w:r w:rsidR="00024259">
        <w:rPr>
          <w:noProof/>
        </w:rPr>
        <w:t xml:space="preserve"> </w:t>
      </w:r>
      <w:r>
        <w:rPr>
          <w:noProof/>
        </w:rPr>
        <w:t xml:space="preserve"> </w:t>
      </w:r>
    </w:p>
    <w:p w:rsidR="009E22B8" w:rsidRDefault="009E22B8" w:rsidP="001B02FE">
      <w:pPr>
        <w:rPr>
          <w:noProof/>
        </w:rPr>
      </w:pPr>
    </w:p>
    <w:p w:rsidR="001B02FE" w:rsidRDefault="00FC05B8" w:rsidP="009E22B8">
      <w:pPr>
        <w:jc w:val="center"/>
      </w:pPr>
      <w:r>
        <w:rPr>
          <w:noProof/>
        </w:rPr>
        <w:drawing>
          <wp:inline distT="0" distB="0" distL="0" distR="0">
            <wp:extent cx="8288020" cy="2772410"/>
            <wp:effectExtent l="19050" t="0" r="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277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7C7" w:rsidRDefault="005167C7" w:rsidP="001B02FE"/>
    <w:p w:rsidR="005167C7" w:rsidRDefault="005167C7" w:rsidP="005167C7">
      <w:pPr>
        <w:spacing w:after="0"/>
      </w:pPr>
    </w:p>
    <w:p w:rsidR="00FC05B8" w:rsidRDefault="00FC05B8" w:rsidP="00FC05B8">
      <w:pPr>
        <w:spacing w:after="0" w:line="240" w:lineRule="auto"/>
      </w:pPr>
    </w:p>
    <w:p w:rsidR="00850478" w:rsidRDefault="00850478" w:rsidP="00850478">
      <w:pPr>
        <w:spacing w:after="120" w:line="240" w:lineRule="auto"/>
      </w:pPr>
      <w:r>
        <w:t>Features</w:t>
      </w:r>
    </w:p>
    <w:p w:rsidR="00850478" w:rsidRDefault="00850478" w:rsidP="00850478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E71421" w:rsidRDefault="00E71421" w:rsidP="00E7142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Select </w:t>
      </w:r>
      <w:r w:rsidR="00504953">
        <w:t>type of report (Gross production, Daily Averages, Net production, etc)</w:t>
      </w:r>
      <w:r>
        <w:t>.</w:t>
      </w:r>
    </w:p>
    <w:p w:rsidR="00850478" w:rsidRDefault="00850478" w:rsidP="00850478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 </w:t>
      </w:r>
    </w:p>
    <w:p w:rsidR="00A51E32" w:rsidRPr="00D731C2" w:rsidRDefault="00A51E32" w:rsidP="00A51E32">
      <w:pPr>
        <w:pStyle w:val="Heading3"/>
        <w:rPr>
          <w:noProof/>
        </w:rPr>
      </w:pPr>
      <w:bookmarkStart w:id="7" w:name="_Toc302719882"/>
      <w:r>
        <w:rPr>
          <w:noProof/>
        </w:rPr>
        <w:lastRenderedPageBreak/>
        <w:t xml:space="preserve">Daily Prod (Total for Range of Days) – NET </w:t>
      </w:r>
      <w:r w:rsidRPr="00D731C2">
        <w:rPr>
          <w:noProof/>
        </w:rPr>
        <w:t>report</w:t>
      </w:r>
      <w:bookmarkEnd w:id="7"/>
    </w:p>
    <w:p w:rsidR="00A42127" w:rsidRDefault="00A42127" w:rsidP="00A42127">
      <w:pPr>
        <w:rPr>
          <w:noProof/>
        </w:rPr>
      </w:pPr>
      <w:r>
        <w:rPr>
          <w:noProof/>
        </w:rPr>
        <w:t xml:space="preserve">This report shows the gross daily production and the adjusted “Net” production over a specific range of days.  </w:t>
      </w:r>
    </w:p>
    <w:p w:rsidR="00E54970" w:rsidRDefault="00E54970" w:rsidP="00A42127">
      <w:pPr>
        <w:rPr>
          <w:noProof/>
        </w:rPr>
      </w:pPr>
    </w:p>
    <w:p w:rsidR="001B02FE" w:rsidRDefault="00E54970" w:rsidP="00A42127">
      <w:pPr>
        <w:jc w:val="center"/>
      </w:pPr>
      <w:r>
        <w:rPr>
          <w:noProof/>
        </w:rPr>
        <w:drawing>
          <wp:inline distT="0" distB="0" distL="0" distR="0">
            <wp:extent cx="8705215" cy="2787015"/>
            <wp:effectExtent l="19050" t="0" r="63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215" cy="278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127" w:rsidRDefault="00A42127" w:rsidP="001B02FE"/>
    <w:p w:rsidR="00FC05B8" w:rsidRDefault="00FC05B8" w:rsidP="00FC05B8">
      <w:pPr>
        <w:spacing w:after="120" w:line="240" w:lineRule="auto"/>
      </w:pPr>
    </w:p>
    <w:p w:rsidR="00FC05B8" w:rsidRDefault="00FC05B8" w:rsidP="00FC05B8">
      <w:pPr>
        <w:spacing w:after="120" w:line="240" w:lineRule="auto"/>
      </w:pPr>
    </w:p>
    <w:p w:rsidR="00FC05B8" w:rsidRDefault="00FC05B8" w:rsidP="00FC05B8">
      <w:pPr>
        <w:spacing w:after="0" w:line="240" w:lineRule="auto"/>
      </w:pPr>
    </w:p>
    <w:p w:rsidR="00FC05B8" w:rsidRDefault="00FC05B8" w:rsidP="00FC05B8">
      <w:pPr>
        <w:spacing w:after="120" w:line="240" w:lineRule="auto"/>
      </w:pPr>
      <w:r>
        <w:t>Features</w:t>
      </w:r>
    </w:p>
    <w:p w:rsidR="00FC05B8" w:rsidRDefault="00FC05B8" w:rsidP="00FC05B8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E71421" w:rsidRDefault="00E71421" w:rsidP="00E71421">
      <w:pPr>
        <w:pStyle w:val="ListParagraph"/>
        <w:numPr>
          <w:ilvl w:val="0"/>
          <w:numId w:val="3"/>
        </w:numPr>
        <w:spacing w:after="0" w:line="240" w:lineRule="auto"/>
      </w:pPr>
      <w:r>
        <w:t>Select Report Grouping and Sorting options.</w:t>
      </w:r>
    </w:p>
    <w:p w:rsidR="00FC05B8" w:rsidRDefault="00FC05B8" w:rsidP="00FC05B8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View the report on screen, print the report to a printer, or export the report to a file (PDF, XML, CSV, etc.)  </w:t>
      </w:r>
    </w:p>
    <w:p w:rsidR="00A51E32" w:rsidRPr="00D731C2" w:rsidRDefault="00A51E32" w:rsidP="00307413">
      <w:pPr>
        <w:pStyle w:val="Heading3"/>
        <w:spacing w:after="120" w:line="240" w:lineRule="auto"/>
        <w:rPr>
          <w:noProof/>
        </w:rPr>
      </w:pPr>
      <w:bookmarkStart w:id="8" w:name="_Toc302719883"/>
      <w:r>
        <w:rPr>
          <w:noProof/>
        </w:rPr>
        <w:lastRenderedPageBreak/>
        <w:t xml:space="preserve">Shut-in </w:t>
      </w:r>
      <w:r w:rsidRPr="00D731C2">
        <w:rPr>
          <w:noProof/>
        </w:rPr>
        <w:t>report</w:t>
      </w:r>
      <w:bookmarkEnd w:id="8"/>
    </w:p>
    <w:p w:rsidR="00A51E32" w:rsidRPr="0002767F" w:rsidRDefault="00A51E32" w:rsidP="00A51E32">
      <w:pPr>
        <w:rPr>
          <w:noProof/>
        </w:rPr>
      </w:pPr>
      <w:r w:rsidRPr="0002767F">
        <w:rPr>
          <w:noProof/>
        </w:rPr>
        <w:t xml:space="preserve">This report shows the </w:t>
      </w:r>
      <w:r w:rsidR="0002767F" w:rsidRPr="0002767F">
        <w:rPr>
          <w:noProof/>
        </w:rPr>
        <w:t>leases that are shut-in on a specific date.</w:t>
      </w:r>
      <w:r w:rsidRPr="0002767F">
        <w:rPr>
          <w:noProof/>
        </w:rPr>
        <w:t xml:space="preserve"> </w:t>
      </w:r>
    </w:p>
    <w:p w:rsidR="00FC05B8" w:rsidRDefault="007173AD" w:rsidP="007173AD">
      <w:r>
        <w:rPr>
          <w:noProof/>
        </w:rPr>
        <w:drawing>
          <wp:inline distT="0" distB="0" distL="0" distR="0">
            <wp:extent cx="10972800" cy="4065513"/>
            <wp:effectExtent l="19050" t="0" r="0" b="0"/>
            <wp:docPr id="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406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9" w:name="_Toc302719884"/>
    </w:p>
    <w:p w:rsidR="007173AD" w:rsidRDefault="007173AD" w:rsidP="007173AD">
      <w:pPr>
        <w:spacing w:after="0" w:line="240" w:lineRule="auto"/>
      </w:pPr>
    </w:p>
    <w:p w:rsidR="00FC05B8" w:rsidRDefault="00FC05B8" w:rsidP="00FC05B8">
      <w:pPr>
        <w:spacing w:after="120" w:line="240" w:lineRule="auto"/>
      </w:pPr>
      <w:r>
        <w:t>Features</w:t>
      </w:r>
    </w:p>
    <w:p w:rsidR="00FC05B8" w:rsidRDefault="00FC05B8" w:rsidP="00FC05B8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E71421" w:rsidRDefault="00E71421" w:rsidP="00E71421">
      <w:pPr>
        <w:pStyle w:val="ListParagraph"/>
        <w:numPr>
          <w:ilvl w:val="0"/>
          <w:numId w:val="3"/>
        </w:numPr>
        <w:spacing w:after="0" w:line="240" w:lineRule="auto"/>
      </w:pPr>
      <w:r>
        <w:t>Select Report Grouping and Sorting options.</w:t>
      </w:r>
    </w:p>
    <w:p w:rsidR="00FC05B8" w:rsidRDefault="00FC05B8" w:rsidP="00FC05B8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 </w:t>
      </w:r>
    </w:p>
    <w:p w:rsidR="00A51E32" w:rsidRPr="00D731C2" w:rsidRDefault="00A51E32" w:rsidP="00307413">
      <w:pPr>
        <w:pStyle w:val="Heading3"/>
        <w:spacing w:after="120" w:line="240" w:lineRule="auto"/>
        <w:rPr>
          <w:noProof/>
        </w:rPr>
      </w:pPr>
      <w:r>
        <w:rPr>
          <w:noProof/>
        </w:rPr>
        <w:lastRenderedPageBreak/>
        <w:t xml:space="preserve">Test (Detailed) </w:t>
      </w:r>
      <w:r w:rsidRPr="00D731C2">
        <w:rPr>
          <w:noProof/>
        </w:rPr>
        <w:t>report</w:t>
      </w:r>
      <w:bookmarkEnd w:id="9"/>
    </w:p>
    <w:p w:rsidR="00A51E32" w:rsidRPr="00C8043A" w:rsidRDefault="00A51E32" w:rsidP="008E35AC">
      <w:pPr>
        <w:spacing w:after="120"/>
        <w:rPr>
          <w:noProof/>
        </w:rPr>
      </w:pPr>
      <w:r w:rsidRPr="00C8043A">
        <w:rPr>
          <w:noProof/>
        </w:rPr>
        <w:t xml:space="preserve">This report shows the Well Tests </w:t>
      </w:r>
      <w:r w:rsidR="00C8043A" w:rsidRPr="00C8043A">
        <w:rPr>
          <w:noProof/>
        </w:rPr>
        <w:t xml:space="preserve">entered </w:t>
      </w:r>
      <w:r w:rsidRPr="00C8043A">
        <w:rPr>
          <w:noProof/>
        </w:rPr>
        <w:t xml:space="preserve">during a specific date range for the leases selected. </w:t>
      </w:r>
    </w:p>
    <w:p w:rsidR="00A51E32" w:rsidRDefault="00307413" w:rsidP="00A51E32">
      <w:r>
        <w:rPr>
          <w:noProof/>
        </w:rPr>
        <w:drawing>
          <wp:inline distT="0" distB="0" distL="0" distR="0">
            <wp:extent cx="10972800" cy="4492939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449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421" w:rsidRDefault="00E71421" w:rsidP="00E71421">
      <w:pPr>
        <w:spacing w:after="120" w:line="240" w:lineRule="auto"/>
      </w:pPr>
      <w:bookmarkStart w:id="10" w:name="_Toc302719885"/>
      <w:r>
        <w:t>Features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07680B" w:rsidRDefault="0007680B" w:rsidP="0007680B">
      <w:pPr>
        <w:pStyle w:val="ListParagraph"/>
        <w:numPr>
          <w:ilvl w:val="0"/>
          <w:numId w:val="3"/>
        </w:numPr>
        <w:spacing w:after="0" w:line="240" w:lineRule="auto"/>
      </w:pPr>
      <w:r>
        <w:t>Group the report data by operator, county, state, region, pumper, zone, etc (up to 26 options).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 </w:t>
      </w:r>
    </w:p>
    <w:p w:rsidR="00A51E32" w:rsidRPr="00D731C2" w:rsidRDefault="00A51E32" w:rsidP="00A51E32">
      <w:pPr>
        <w:pStyle w:val="Heading3"/>
        <w:rPr>
          <w:noProof/>
        </w:rPr>
      </w:pPr>
      <w:r>
        <w:rPr>
          <w:noProof/>
        </w:rPr>
        <w:lastRenderedPageBreak/>
        <w:t xml:space="preserve">Run Ticket </w:t>
      </w:r>
      <w:r w:rsidRPr="00D731C2">
        <w:rPr>
          <w:noProof/>
        </w:rPr>
        <w:t>report</w:t>
      </w:r>
      <w:bookmarkEnd w:id="10"/>
    </w:p>
    <w:p w:rsidR="00A51E32" w:rsidRPr="00C8043A" w:rsidRDefault="00A51E32" w:rsidP="00A51E32">
      <w:pPr>
        <w:rPr>
          <w:noProof/>
        </w:rPr>
      </w:pPr>
      <w:r w:rsidRPr="00C8043A">
        <w:rPr>
          <w:noProof/>
        </w:rPr>
        <w:t xml:space="preserve">This report shows the </w:t>
      </w:r>
      <w:r w:rsidR="00C8043A" w:rsidRPr="00C8043A">
        <w:rPr>
          <w:noProof/>
        </w:rPr>
        <w:t>Run Tickets</w:t>
      </w:r>
      <w:r w:rsidRPr="00C8043A">
        <w:rPr>
          <w:noProof/>
        </w:rPr>
        <w:t xml:space="preserve"> during a specific date range for the leases selected. </w:t>
      </w:r>
    </w:p>
    <w:p w:rsidR="00A51E32" w:rsidRDefault="00307413" w:rsidP="00A51E32">
      <w:r>
        <w:rPr>
          <w:noProof/>
        </w:rPr>
        <w:drawing>
          <wp:inline distT="0" distB="0" distL="0" distR="0">
            <wp:extent cx="10972800" cy="3000143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3000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E32" w:rsidRDefault="00A51E32" w:rsidP="00A51E32"/>
    <w:p w:rsidR="00A51E32" w:rsidRDefault="00A51E32" w:rsidP="00A51E32">
      <w:pPr>
        <w:spacing w:after="0"/>
      </w:pPr>
    </w:p>
    <w:p w:rsidR="00F37950" w:rsidRDefault="00F37950" w:rsidP="00E71421">
      <w:pPr>
        <w:spacing w:after="120" w:line="240" w:lineRule="auto"/>
      </w:pPr>
    </w:p>
    <w:p w:rsidR="00F37950" w:rsidRDefault="00F37950" w:rsidP="00E71421">
      <w:pPr>
        <w:spacing w:after="120" w:line="240" w:lineRule="auto"/>
      </w:pPr>
    </w:p>
    <w:p w:rsidR="00F37950" w:rsidRDefault="00F37950" w:rsidP="00E71421">
      <w:pPr>
        <w:spacing w:after="120" w:line="240" w:lineRule="auto"/>
      </w:pPr>
    </w:p>
    <w:p w:rsidR="00E71421" w:rsidRDefault="00E71421" w:rsidP="00E71421">
      <w:pPr>
        <w:spacing w:after="120" w:line="240" w:lineRule="auto"/>
      </w:pPr>
      <w:r>
        <w:t>Features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07680B" w:rsidRDefault="0007680B" w:rsidP="0007680B">
      <w:pPr>
        <w:pStyle w:val="ListParagraph"/>
        <w:numPr>
          <w:ilvl w:val="0"/>
          <w:numId w:val="3"/>
        </w:numPr>
        <w:spacing w:after="0" w:line="240" w:lineRule="auto"/>
      </w:pPr>
      <w:r>
        <w:t>Group the report data by operator, county, state, region, pumper, zone, etc (up to 26 options).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 </w:t>
      </w:r>
    </w:p>
    <w:p w:rsidR="00A51E32" w:rsidRDefault="00A51E32"/>
    <w:p w:rsidR="00A51E32" w:rsidRPr="00D731C2" w:rsidRDefault="00A51E32" w:rsidP="00A51E32">
      <w:pPr>
        <w:pStyle w:val="Heading3"/>
        <w:rPr>
          <w:noProof/>
        </w:rPr>
      </w:pPr>
      <w:bookmarkStart w:id="11" w:name="_Toc302719886"/>
      <w:r>
        <w:rPr>
          <w:noProof/>
        </w:rPr>
        <w:t xml:space="preserve">Daily Oil Stock </w:t>
      </w:r>
      <w:r w:rsidRPr="00D731C2">
        <w:rPr>
          <w:noProof/>
        </w:rPr>
        <w:t>report</w:t>
      </w:r>
      <w:bookmarkEnd w:id="11"/>
    </w:p>
    <w:p w:rsidR="00A51E32" w:rsidRPr="00C8043A" w:rsidRDefault="00A51E32" w:rsidP="00A51E32">
      <w:pPr>
        <w:rPr>
          <w:noProof/>
        </w:rPr>
      </w:pPr>
      <w:r w:rsidRPr="00C8043A">
        <w:rPr>
          <w:noProof/>
        </w:rPr>
        <w:t xml:space="preserve">This report </w:t>
      </w:r>
      <w:r w:rsidR="00C8043A" w:rsidRPr="00C8043A">
        <w:rPr>
          <w:noProof/>
        </w:rPr>
        <w:t xml:space="preserve">creates an Excel spreadsheet which </w:t>
      </w:r>
      <w:r w:rsidRPr="00C8043A">
        <w:rPr>
          <w:noProof/>
        </w:rPr>
        <w:t xml:space="preserve">shows </w:t>
      </w:r>
      <w:r w:rsidR="00C8043A" w:rsidRPr="00C8043A">
        <w:rPr>
          <w:noProof/>
        </w:rPr>
        <w:t xml:space="preserve">oil stock for </w:t>
      </w:r>
      <w:r w:rsidRPr="00C8043A">
        <w:rPr>
          <w:noProof/>
        </w:rPr>
        <w:t xml:space="preserve">a specific date for the leases selected. </w:t>
      </w:r>
    </w:p>
    <w:p w:rsidR="00F53885" w:rsidRPr="00F53885" w:rsidRDefault="00F53885" w:rsidP="00A51E32">
      <w:pPr>
        <w:rPr>
          <w:noProof/>
          <w:color w:val="FF0000"/>
        </w:rPr>
      </w:pPr>
    </w:p>
    <w:p w:rsidR="00A51E32" w:rsidRDefault="00F53885" w:rsidP="00A51E32">
      <w:r>
        <w:rPr>
          <w:noProof/>
        </w:rPr>
        <w:drawing>
          <wp:inline distT="0" distB="0" distL="0" distR="0">
            <wp:extent cx="10972800" cy="2425283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425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E32" w:rsidRDefault="00A51E32" w:rsidP="00A51E32"/>
    <w:p w:rsidR="00E71421" w:rsidRDefault="00E71421" w:rsidP="00A51E32"/>
    <w:p w:rsidR="00E71421" w:rsidRDefault="00E71421" w:rsidP="00A51E32"/>
    <w:p w:rsidR="00E71421" w:rsidRDefault="00E71421" w:rsidP="00A51E32"/>
    <w:p w:rsidR="00E71421" w:rsidRDefault="00E71421" w:rsidP="00E71421">
      <w:pPr>
        <w:spacing w:after="0" w:line="240" w:lineRule="auto"/>
      </w:pPr>
      <w:bookmarkStart w:id="12" w:name="_Toc302719887"/>
    </w:p>
    <w:p w:rsidR="00E71421" w:rsidRDefault="00E71421" w:rsidP="00E71421">
      <w:pPr>
        <w:spacing w:after="120" w:line="240" w:lineRule="auto"/>
      </w:pPr>
      <w:r>
        <w:t>Features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E71421" w:rsidRDefault="00F37950" w:rsidP="00E71421">
      <w:pPr>
        <w:pStyle w:val="ListParagraph"/>
        <w:numPr>
          <w:ilvl w:val="0"/>
          <w:numId w:val="3"/>
        </w:numPr>
        <w:spacing w:after="0" w:line="240" w:lineRule="auto"/>
      </w:pPr>
      <w:r>
        <w:t>Over 50 fields exported to spreadsheet</w:t>
      </w:r>
      <w:r w:rsidR="00E71421">
        <w:t>.</w:t>
      </w:r>
    </w:p>
    <w:p w:rsidR="00A51E32" w:rsidRPr="00D731C2" w:rsidRDefault="00A51E32" w:rsidP="00A51E32">
      <w:pPr>
        <w:pStyle w:val="Heading3"/>
        <w:rPr>
          <w:noProof/>
        </w:rPr>
      </w:pPr>
      <w:r>
        <w:rPr>
          <w:noProof/>
        </w:rPr>
        <w:lastRenderedPageBreak/>
        <w:t xml:space="preserve">Daily Monthly Variance </w:t>
      </w:r>
      <w:r w:rsidRPr="00D731C2">
        <w:rPr>
          <w:noProof/>
        </w:rPr>
        <w:t>report</w:t>
      </w:r>
      <w:bookmarkEnd w:id="12"/>
    </w:p>
    <w:p w:rsidR="00A51E32" w:rsidRPr="00C8043A" w:rsidRDefault="00A51E32" w:rsidP="00A51E32">
      <w:pPr>
        <w:rPr>
          <w:noProof/>
        </w:rPr>
      </w:pPr>
      <w:r w:rsidRPr="00C8043A">
        <w:rPr>
          <w:noProof/>
        </w:rPr>
        <w:t xml:space="preserve">This report </w:t>
      </w:r>
      <w:r w:rsidR="00C8043A" w:rsidRPr="00C8043A">
        <w:rPr>
          <w:noProof/>
        </w:rPr>
        <w:t xml:space="preserve">compares the </w:t>
      </w:r>
      <w:r w:rsidR="00F37950">
        <w:rPr>
          <w:noProof/>
        </w:rPr>
        <w:t>“T</w:t>
      </w:r>
      <w:r w:rsidR="00C8043A" w:rsidRPr="00C8043A">
        <w:rPr>
          <w:noProof/>
        </w:rPr>
        <w:t xml:space="preserve">otal </w:t>
      </w:r>
      <w:r w:rsidR="00F37950">
        <w:rPr>
          <w:noProof/>
        </w:rPr>
        <w:t>D</w:t>
      </w:r>
      <w:r w:rsidR="00C8043A" w:rsidRPr="00C8043A">
        <w:rPr>
          <w:noProof/>
        </w:rPr>
        <w:t>aily</w:t>
      </w:r>
      <w:r w:rsidR="00F37950">
        <w:rPr>
          <w:noProof/>
        </w:rPr>
        <w:t>”</w:t>
      </w:r>
      <w:r w:rsidR="00C8043A" w:rsidRPr="00C8043A">
        <w:rPr>
          <w:noProof/>
        </w:rPr>
        <w:t xml:space="preserve"> production for a specific month with the </w:t>
      </w:r>
      <w:r w:rsidR="00F37950">
        <w:rPr>
          <w:noProof/>
        </w:rPr>
        <w:t>“M</w:t>
      </w:r>
      <w:r w:rsidR="00C8043A" w:rsidRPr="00C8043A">
        <w:rPr>
          <w:noProof/>
        </w:rPr>
        <w:t>onthly</w:t>
      </w:r>
      <w:r w:rsidR="00F37950">
        <w:rPr>
          <w:noProof/>
        </w:rPr>
        <w:t>”</w:t>
      </w:r>
      <w:r w:rsidR="00C8043A" w:rsidRPr="00C8043A">
        <w:rPr>
          <w:noProof/>
        </w:rPr>
        <w:t xml:space="preserve"> production reported </w:t>
      </w:r>
      <w:r w:rsidRPr="00C8043A">
        <w:rPr>
          <w:noProof/>
        </w:rPr>
        <w:t xml:space="preserve">for the leases selected. </w:t>
      </w:r>
    </w:p>
    <w:p w:rsidR="00A51E32" w:rsidRDefault="008B2B1F" w:rsidP="00A51E32">
      <w:r>
        <w:rPr>
          <w:noProof/>
        </w:rPr>
        <w:drawing>
          <wp:inline distT="0" distB="0" distL="0" distR="0">
            <wp:extent cx="10972800" cy="2781043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781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421" w:rsidRDefault="00E71421" w:rsidP="00E71421">
      <w:pPr>
        <w:spacing w:after="120" w:line="240" w:lineRule="auto"/>
      </w:pPr>
      <w:bookmarkStart w:id="13" w:name="_Toc302719888"/>
    </w:p>
    <w:p w:rsidR="00E71421" w:rsidRDefault="00E71421" w:rsidP="00E71421">
      <w:pPr>
        <w:spacing w:after="120" w:line="240" w:lineRule="auto"/>
      </w:pPr>
    </w:p>
    <w:p w:rsidR="00E71421" w:rsidRDefault="00E71421" w:rsidP="00E71421">
      <w:pPr>
        <w:spacing w:after="120" w:line="240" w:lineRule="auto"/>
      </w:pPr>
    </w:p>
    <w:p w:rsidR="00E71421" w:rsidRDefault="00E71421" w:rsidP="00E71421">
      <w:pPr>
        <w:spacing w:after="120" w:line="240" w:lineRule="auto"/>
      </w:pPr>
    </w:p>
    <w:p w:rsidR="00E71421" w:rsidRDefault="00E71421" w:rsidP="00E71421">
      <w:pPr>
        <w:spacing w:after="120" w:line="240" w:lineRule="auto"/>
      </w:pPr>
    </w:p>
    <w:p w:rsidR="00E71421" w:rsidRDefault="00E71421" w:rsidP="00E71421">
      <w:pPr>
        <w:spacing w:after="0" w:line="240" w:lineRule="auto"/>
      </w:pPr>
    </w:p>
    <w:p w:rsidR="00E71421" w:rsidRDefault="00E71421" w:rsidP="00E71421">
      <w:pPr>
        <w:spacing w:after="120" w:line="240" w:lineRule="auto"/>
      </w:pPr>
      <w:r>
        <w:t>Features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E71421" w:rsidRDefault="00E71421" w:rsidP="00E71421">
      <w:pPr>
        <w:pStyle w:val="ListParagraph"/>
        <w:numPr>
          <w:ilvl w:val="0"/>
          <w:numId w:val="3"/>
        </w:numPr>
        <w:spacing w:after="0" w:line="240" w:lineRule="auto"/>
      </w:pPr>
      <w:r>
        <w:t>Select Report Grouping and Sorting options.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 </w:t>
      </w:r>
    </w:p>
    <w:p w:rsidR="00A51E32" w:rsidRPr="00D731C2" w:rsidRDefault="00A51E32" w:rsidP="00A51E32">
      <w:pPr>
        <w:pStyle w:val="Heading3"/>
        <w:rPr>
          <w:noProof/>
        </w:rPr>
      </w:pPr>
      <w:r>
        <w:rPr>
          <w:noProof/>
        </w:rPr>
        <w:lastRenderedPageBreak/>
        <w:t xml:space="preserve">Compressor </w:t>
      </w:r>
      <w:r w:rsidRPr="00D731C2">
        <w:rPr>
          <w:noProof/>
        </w:rPr>
        <w:t>report</w:t>
      </w:r>
      <w:bookmarkEnd w:id="13"/>
    </w:p>
    <w:p w:rsidR="00A51E32" w:rsidRDefault="00A51E32" w:rsidP="00A51E32">
      <w:pPr>
        <w:rPr>
          <w:noProof/>
        </w:rPr>
      </w:pPr>
      <w:r w:rsidRPr="00C8043A">
        <w:rPr>
          <w:noProof/>
        </w:rPr>
        <w:t xml:space="preserve">This report shows </w:t>
      </w:r>
      <w:r w:rsidR="00C8043A" w:rsidRPr="00C8043A">
        <w:rPr>
          <w:noProof/>
        </w:rPr>
        <w:t>compressor information for a specif</w:t>
      </w:r>
      <w:r w:rsidRPr="00C8043A">
        <w:rPr>
          <w:noProof/>
        </w:rPr>
        <w:t xml:space="preserve">ic date range for the leases selected. </w:t>
      </w:r>
    </w:p>
    <w:p w:rsidR="00E71421" w:rsidRDefault="00E71421" w:rsidP="00A51E32">
      <w:pPr>
        <w:rPr>
          <w:noProof/>
        </w:rPr>
      </w:pPr>
    </w:p>
    <w:p w:rsidR="00E71421" w:rsidRPr="00C8043A" w:rsidRDefault="00E71421" w:rsidP="00A51E32">
      <w:pPr>
        <w:rPr>
          <w:noProof/>
        </w:rPr>
      </w:pPr>
    </w:p>
    <w:p w:rsidR="00A51E32" w:rsidRDefault="008B2B1F" w:rsidP="00A51E32">
      <w:r>
        <w:rPr>
          <w:noProof/>
        </w:rPr>
        <w:drawing>
          <wp:inline distT="0" distB="0" distL="0" distR="0">
            <wp:extent cx="10972800" cy="2322295"/>
            <wp:effectExtent l="19050" t="0" r="0" b="0"/>
            <wp:docPr id="1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32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421" w:rsidRDefault="00E71421" w:rsidP="00A51E32"/>
    <w:p w:rsidR="00E71421" w:rsidRDefault="00E71421" w:rsidP="00A51E32"/>
    <w:p w:rsidR="00E71421" w:rsidRDefault="00E71421" w:rsidP="00A51E32"/>
    <w:p w:rsidR="00E71421" w:rsidRDefault="00E71421" w:rsidP="00E71421">
      <w:pPr>
        <w:spacing w:after="0"/>
      </w:pPr>
    </w:p>
    <w:p w:rsidR="00E71421" w:rsidRDefault="00E71421" w:rsidP="00E71421">
      <w:pPr>
        <w:spacing w:after="120" w:line="240" w:lineRule="auto"/>
      </w:pPr>
      <w:r>
        <w:t>Features</w:t>
      </w:r>
    </w:p>
    <w:p w:rsidR="00E71421" w:rsidRDefault="00E71421" w:rsidP="00E71421">
      <w:pPr>
        <w:pStyle w:val="ListParagraph"/>
        <w:numPr>
          <w:ilvl w:val="0"/>
          <w:numId w:val="3"/>
        </w:numPr>
      </w:pPr>
      <w:r>
        <w:t xml:space="preserve">Extensive options for lease selection criteria. (select a single lease, or all leases, or filtered leases, or by pumper, or by user defined groups, etc) </w:t>
      </w:r>
    </w:p>
    <w:p w:rsidR="0007680B" w:rsidRDefault="0007680B" w:rsidP="0007680B">
      <w:pPr>
        <w:pStyle w:val="ListParagraph"/>
        <w:numPr>
          <w:ilvl w:val="0"/>
          <w:numId w:val="3"/>
        </w:numPr>
        <w:spacing w:after="0" w:line="240" w:lineRule="auto"/>
      </w:pPr>
      <w:r>
        <w:t>Group the report data by operator, county, state, region, pumper, zone, etc (up to 26 options).</w:t>
      </w:r>
    </w:p>
    <w:p w:rsidR="00A51E32" w:rsidRDefault="00E71421" w:rsidP="001B02FE">
      <w:pPr>
        <w:pStyle w:val="ListParagraph"/>
        <w:numPr>
          <w:ilvl w:val="0"/>
          <w:numId w:val="3"/>
        </w:numPr>
      </w:pPr>
      <w:r>
        <w:t xml:space="preserve">View the report on screen, print the report to a printer, or export the report to a file (PDF, XML, CSV, etc.) </w:t>
      </w:r>
    </w:p>
    <w:sectPr w:rsidR="00A51E32" w:rsidSect="00CE25CC">
      <w:headerReference w:type="default" r:id="rId23"/>
      <w:footerReference w:type="default" r:id="rId24"/>
      <w:pgSz w:w="20160" w:h="12240" w:orient="landscape" w:code="5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0A4" w:rsidRDefault="00AA20A4" w:rsidP="00FD4351">
      <w:pPr>
        <w:spacing w:after="0" w:line="240" w:lineRule="auto"/>
      </w:pPr>
      <w:r>
        <w:separator/>
      </w:r>
    </w:p>
  </w:endnote>
  <w:endnote w:type="continuationSeparator" w:id="0">
    <w:p w:rsidR="00AA20A4" w:rsidRDefault="00AA20A4" w:rsidP="00FD4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98438"/>
      <w:docPartObj>
        <w:docPartGallery w:val="Page Numbers (Bottom of Page)"/>
        <w:docPartUnique/>
      </w:docPartObj>
    </w:sdtPr>
    <w:sdtContent>
      <w:p w:rsidR="00E71421" w:rsidRDefault="00E71421">
        <w:pPr>
          <w:pStyle w:val="Footer"/>
          <w:jc w:val="right"/>
        </w:pPr>
        <w:fldSimple w:instr=" PAGE   \* MERGEFORMAT ">
          <w:r w:rsidR="0007680B">
            <w:rPr>
              <w:noProof/>
            </w:rPr>
            <w:t>16</w:t>
          </w:r>
        </w:fldSimple>
      </w:p>
    </w:sdtContent>
  </w:sdt>
  <w:p w:rsidR="00E71421" w:rsidRDefault="00E714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0A4" w:rsidRDefault="00AA20A4" w:rsidP="00FD4351">
      <w:pPr>
        <w:spacing w:after="0" w:line="240" w:lineRule="auto"/>
      </w:pPr>
      <w:r>
        <w:separator/>
      </w:r>
    </w:p>
  </w:footnote>
  <w:footnote w:type="continuationSeparator" w:id="0">
    <w:p w:rsidR="00AA20A4" w:rsidRDefault="00AA20A4" w:rsidP="00FD4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21" w:rsidRPr="00E74244" w:rsidRDefault="00E71421">
    <w:pPr>
      <w:pStyle w:val="Header"/>
      <w:rPr>
        <w:sz w:val="32"/>
        <w:szCs w:val="32"/>
      </w:rPr>
    </w:pPr>
    <w:r>
      <w:rPr>
        <w:sz w:val="32"/>
        <w:szCs w:val="32"/>
      </w:rPr>
      <w:t>PRS</w:t>
    </w:r>
    <w:r w:rsidRPr="00E74244">
      <w:rPr>
        <w:sz w:val="32"/>
        <w:szCs w:val="32"/>
      </w:rPr>
      <w:t xml:space="preserve"> Reports</w:t>
    </w:r>
  </w:p>
  <w:p w:rsidR="00E71421" w:rsidRDefault="00E714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56BA1"/>
    <w:multiLevelType w:val="hybridMultilevel"/>
    <w:tmpl w:val="AD16A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94B0D"/>
    <w:multiLevelType w:val="hybridMultilevel"/>
    <w:tmpl w:val="FD5EA2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F75CC9"/>
    <w:multiLevelType w:val="hybridMultilevel"/>
    <w:tmpl w:val="C3DC7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6E4"/>
    <w:rsid w:val="00024259"/>
    <w:rsid w:val="0002767F"/>
    <w:rsid w:val="00033A6C"/>
    <w:rsid w:val="00056181"/>
    <w:rsid w:val="0007680B"/>
    <w:rsid w:val="000E2BFF"/>
    <w:rsid w:val="001262F2"/>
    <w:rsid w:val="00136E8B"/>
    <w:rsid w:val="001524A2"/>
    <w:rsid w:val="00163684"/>
    <w:rsid w:val="0016633D"/>
    <w:rsid w:val="00180948"/>
    <w:rsid w:val="00195EFF"/>
    <w:rsid w:val="001B02FE"/>
    <w:rsid w:val="00204B56"/>
    <w:rsid w:val="00234804"/>
    <w:rsid w:val="002352B2"/>
    <w:rsid w:val="00241207"/>
    <w:rsid w:val="002D40EA"/>
    <w:rsid w:val="00307413"/>
    <w:rsid w:val="00316B12"/>
    <w:rsid w:val="003232FC"/>
    <w:rsid w:val="00324720"/>
    <w:rsid w:val="003A4279"/>
    <w:rsid w:val="003B3B90"/>
    <w:rsid w:val="003C44B3"/>
    <w:rsid w:val="003C6136"/>
    <w:rsid w:val="004212F4"/>
    <w:rsid w:val="004358D0"/>
    <w:rsid w:val="00453C1C"/>
    <w:rsid w:val="00463577"/>
    <w:rsid w:val="00485813"/>
    <w:rsid w:val="004A7E0C"/>
    <w:rsid w:val="004E120C"/>
    <w:rsid w:val="004E7D01"/>
    <w:rsid w:val="004F4CFE"/>
    <w:rsid w:val="005046B0"/>
    <w:rsid w:val="00504953"/>
    <w:rsid w:val="0051274D"/>
    <w:rsid w:val="005167C7"/>
    <w:rsid w:val="00570128"/>
    <w:rsid w:val="005850E4"/>
    <w:rsid w:val="00597689"/>
    <w:rsid w:val="005C269E"/>
    <w:rsid w:val="005D0D14"/>
    <w:rsid w:val="005D51DE"/>
    <w:rsid w:val="00606C5A"/>
    <w:rsid w:val="006318ED"/>
    <w:rsid w:val="00642866"/>
    <w:rsid w:val="0068250B"/>
    <w:rsid w:val="00683B9E"/>
    <w:rsid w:val="006A53F8"/>
    <w:rsid w:val="006D44FD"/>
    <w:rsid w:val="007173AD"/>
    <w:rsid w:val="00740B36"/>
    <w:rsid w:val="007416E4"/>
    <w:rsid w:val="00850478"/>
    <w:rsid w:val="00850CC8"/>
    <w:rsid w:val="008B2B1F"/>
    <w:rsid w:val="008E35AC"/>
    <w:rsid w:val="008F773B"/>
    <w:rsid w:val="00944AD3"/>
    <w:rsid w:val="009A0E79"/>
    <w:rsid w:val="009A1453"/>
    <w:rsid w:val="009E22B8"/>
    <w:rsid w:val="009E40E2"/>
    <w:rsid w:val="009E4AB2"/>
    <w:rsid w:val="00A1564B"/>
    <w:rsid w:val="00A42127"/>
    <w:rsid w:val="00A51E32"/>
    <w:rsid w:val="00A71130"/>
    <w:rsid w:val="00A71777"/>
    <w:rsid w:val="00A96C88"/>
    <w:rsid w:val="00AA20A4"/>
    <w:rsid w:val="00AE12C1"/>
    <w:rsid w:val="00B01273"/>
    <w:rsid w:val="00B01733"/>
    <w:rsid w:val="00B07B8F"/>
    <w:rsid w:val="00B52E1F"/>
    <w:rsid w:val="00B55FC3"/>
    <w:rsid w:val="00BC344F"/>
    <w:rsid w:val="00BE499D"/>
    <w:rsid w:val="00C028E6"/>
    <w:rsid w:val="00C37AF5"/>
    <w:rsid w:val="00C7338D"/>
    <w:rsid w:val="00C8043A"/>
    <w:rsid w:val="00CB1FCF"/>
    <w:rsid w:val="00CC4155"/>
    <w:rsid w:val="00CC419B"/>
    <w:rsid w:val="00CD5EFE"/>
    <w:rsid w:val="00CE25CC"/>
    <w:rsid w:val="00D30140"/>
    <w:rsid w:val="00D33219"/>
    <w:rsid w:val="00D635FD"/>
    <w:rsid w:val="00D731C2"/>
    <w:rsid w:val="00D91E3C"/>
    <w:rsid w:val="00DB7BAF"/>
    <w:rsid w:val="00E02833"/>
    <w:rsid w:val="00E20700"/>
    <w:rsid w:val="00E54970"/>
    <w:rsid w:val="00E71421"/>
    <w:rsid w:val="00E74244"/>
    <w:rsid w:val="00E75B50"/>
    <w:rsid w:val="00EB2BFD"/>
    <w:rsid w:val="00EC34B8"/>
    <w:rsid w:val="00EF4A8F"/>
    <w:rsid w:val="00F11622"/>
    <w:rsid w:val="00F2070D"/>
    <w:rsid w:val="00F37950"/>
    <w:rsid w:val="00F508F4"/>
    <w:rsid w:val="00F53885"/>
    <w:rsid w:val="00F554EC"/>
    <w:rsid w:val="00F607E4"/>
    <w:rsid w:val="00F8667A"/>
    <w:rsid w:val="00FB3A18"/>
    <w:rsid w:val="00FC05B8"/>
    <w:rsid w:val="00FD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36"/>
  </w:style>
  <w:style w:type="paragraph" w:styleId="Heading1">
    <w:name w:val="heading 1"/>
    <w:basedOn w:val="Normal"/>
    <w:next w:val="Normal"/>
    <w:link w:val="Heading1Char"/>
    <w:uiPriority w:val="9"/>
    <w:qFormat/>
    <w:rsid w:val="00E74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2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244"/>
    <w:pPr>
      <w:keepNext/>
      <w:keepLines/>
      <w:spacing w:before="240" w:after="240"/>
      <w:outlineLvl w:val="2"/>
    </w:pPr>
    <w:rPr>
      <w:rFonts w:eastAsiaTheme="majorEastAsia" w:cstheme="majorBidi"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6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7A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4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351"/>
  </w:style>
  <w:style w:type="paragraph" w:styleId="Footer">
    <w:name w:val="footer"/>
    <w:basedOn w:val="Normal"/>
    <w:link w:val="FooterChar"/>
    <w:uiPriority w:val="99"/>
    <w:unhideWhenUsed/>
    <w:rsid w:val="00FD4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351"/>
  </w:style>
  <w:style w:type="paragraph" w:styleId="NoSpacing">
    <w:name w:val="No Spacing"/>
    <w:link w:val="NoSpacingChar"/>
    <w:uiPriority w:val="1"/>
    <w:qFormat/>
    <w:rsid w:val="00B55FC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55FC3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E742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4244"/>
    <w:rPr>
      <w:rFonts w:eastAsiaTheme="majorEastAsia" w:cstheme="majorBidi"/>
      <w:bCs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74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4244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E74244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742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2011-09-01T00:00:00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DC510F-F601-4796-BC05-99CE0419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16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PRS Reports </vt:lpstr>
    </vt:vector>
  </TitlesOfParts>
  <Company>  Carroll Engineering, Inc.</Company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PRS Reports </dc:title>
  <dc:subject> Version 3 </dc:subject>
  <dc:creator>Jeff Carroll</dc:creator>
  <cp:keywords/>
  <dc:description/>
  <cp:lastModifiedBy>David Cox</cp:lastModifiedBy>
  <cp:revision>49</cp:revision>
  <cp:lastPrinted>2011-09-26T22:39:00Z</cp:lastPrinted>
  <dcterms:created xsi:type="dcterms:W3CDTF">2011-08-31T19:13:00Z</dcterms:created>
  <dcterms:modified xsi:type="dcterms:W3CDTF">2011-09-29T14:33:00Z</dcterms:modified>
</cp:coreProperties>
</file>